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730FF30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C6541" w:rsidRPr="00CC6541">
        <w:rPr>
          <w:b/>
        </w:rPr>
        <w:t xml:space="preserve">Komplexní pozemkové úpravy v k. ú. </w:t>
      </w:r>
      <w:r w:rsidR="00485640" w:rsidRPr="00485640">
        <w:rPr>
          <w:b/>
        </w:rPr>
        <w:t>Černá Vod</w:t>
      </w:r>
      <w:r w:rsidR="00696F0C">
        <w:rPr>
          <w:b/>
        </w:rPr>
        <w:t>a</w:t>
      </w:r>
    </w:p>
    <w:p w14:paraId="5D19AE3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74D55B2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CDD58AC" w14:textId="46FA21F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4F66F75" w14:textId="7D1E83BD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6B0D842" w14:textId="1965135A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A42016" w14:textId="77777777" w:rsidR="00E7765D" w:rsidRPr="00E207A1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DF26EF5" w14:textId="02D58C64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5779073" w14:textId="66ED677D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CA823D7" w14:textId="1973CB7F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A527931" w14:textId="19000D2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205DF39" w14:textId="265154D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2F97DE" w14:textId="51E1CD2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E874EA4" w14:textId="07E0D9C0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80E4B0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2B7333FF" w:rsidR="00037DDD" w:rsidRPr="000C6C96" w:rsidRDefault="00037DDD" w:rsidP="00D064FA">
      <w:pPr>
        <w:pStyle w:val="Odrky2"/>
        <w:rPr>
          <w:lang w:eastAsia="en-US"/>
        </w:rPr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</w:t>
      </w:r>
      <w:r w:rsidR="00F178E7">
        <w:rPr>
          <w:lang w:eastAsia="en-US"/>
        </w:rPr>
        <w:t>498</w:t>
      </w:r>
      <w:r w:rsidR="00D064FA">
        <w:rPr>
          <w:lang w:eastAsia="en-US"/>
        </w:rPr>
        <w:t xml:space="preserve">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 xml:space="preserve">v rozsahu min </w:t>
      </w:r>
      <w:r w:rsidR="00F178E7">
        <w:rPr>
          <w:lang w:eastAsia="en-US"/>
        </w:rPr>
        <w:t>373</w:t>
      </w:r>
      <w:r w:rsidR="00D064FA">
        <w:rPr>
          <w:lang w:eastAsia="en-US"/>
        </w:rPr>
        <w:t xml:space="preserve"> ha</w:t>
      </w:r>
    </w:p>
    <w:bookmarkEnd w:id="0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00AE8778" w:rsidR="009D4E40" w:rsidRDefault="009D4E40" w:rsidP="00037DDD">
      <w:pPr>
        <w:rPr>
          <w:highlight w:val="yellow"/>
        </w:rPr>
      </w:pPr>
    </w:p>
    <w:p w14:paraId="428FB161" w14:textId="64D2C905" w:rsidR="009D4E40" w:rsidRDefault="009D4E40" w:rsidP="00037DDD">
      <w:pPr>
        <w:rPr>
          <w:highlight w:val="yellow"/>
        </w:rPr>
      </w:pPr>
    </w:p>
    <w:p w14:paraId="0576C120" w14:textId="77777777" w:rsidR="003C42A5" w:rsidRDefault="003C42A5" w:rsidP="00037DDD">
      <w:pPr>
        <w:rPr>
          <w:highlight w:val="yellow"/>
        </w:rPr>
      </w:pPr>
    </w:p>
    <w:p w14:paraId="6A92FF27" w14:textId="245362A5" w:rsidR="009D4E40" w:rsidRDefault="009D4E40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22861172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77EF8" w14:textId="77777777" w:rsidR="00E11616" w:rsidRDefault="00E11616" w:rsidP="008E4AD5">
      <w:r>
        <w:separator/>
      </w:r>
    </w:p>
  </w:endnote>
  <w:endnote w:type="continuationSeparator" w:id="0">
    <w:p w14:paraId="71F6346D" w14:textId="77777777" w:rsidR="00E11616" w:rsidRDefault="00E1161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B9D88" w14:textId="77777777" w:rsidR="00E11616" w:rsidRDefault="00E11616" w:rsidP="008E4AD5">
      <w:r>
        <w:separator/>
      </w:r>
    </w:p>
  </w:footnote>
  <w:footnote w:type="continuationSeparator" w:id="0">
    <w:p w14:paraId="19126449" w14:textId="77777777" w:rsidR="00E11616" w:rsidRDefault="00E1161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0C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761C3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2A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A4F"/>
    <w:rsid w:val="00407298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52C96"/>
    <w:rsid w:val="004607BF"/>
    <w:rsid w:val="004743D6"/>
    <w:rsid w:val="00476E2A"/>
    <w:rsid w:val="0048564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F0C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0D9B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87D2E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541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4A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61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8E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1142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16</cp:revision>
  <cp:lastPrinted>2013-03-13T13:00:00Z</cp:lastPrinted>
  <dcterms:created xsi:type="dcterms:W3CDTF">2022-08-01T11:40:00Z</dcterms:created>
  <dcterms:modified xsi:type="dcterms:W3CDTF">2022-08-24T10:31:00Z</dcterms:modified>
</cp:coreProperties>
</file>